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keepNext w:val="0"/>
        <w:pageBreakBefore w:val="0"/>
        <w:bidi w:val="1"/>
      </w:pPr>
      <w:r>
        <w:rPr>
          <w:rFonts w:ascii="Amiri" w:hAnsi="Amiri" w:cs="Amiri"/>
          <w:b/>
          <w:color w:val="1B365D"/>
          <w:sz w:val="32"/>
          <w:rtl w:val="1"/>
        </w:rPr>
        <w:t>جذاذة تربوية: التحولات الاقتصادية والمالية والاجتماعية والفكرية في العالم خلال القرن 19م</w:t>
      </w:r>
    </w:p>
    <w:tbl>
      <w:tblPr>
        <w:tblW w:type="dxa" w:w="15307"/>
        <w:jc w:val="center"/>
        <w:tblLayout w:type="fixed"/>
        <w:tblLook w:firstColumn="1" w:firstRow="1" w:lastColumn="0" w:lastRow="0" w:noHBand="0" w:noVBand="1" w:val="04A0"/>
        <w:bidiVisual w:val="1"/>
        <w:tblInd w:type="dxa" w:w="0"/>
      </w:tblPr>
      <w:tblGrid>
        <w:gridCol w:w="7654"/>
        <w:gridCol w:w="7654"/>
      </w:tblGrid>
      <w:tr>
        <w:trPr/>
        <w:tc>
          <w:tcPr>
            <w:tcW w:type="dxa" w:w="7654"/>
            <w:shd w:fill="F3F7FA"/>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HistoGéo Academy</w:t>
              <w:br/>
              <w:t/>
              <w:br/>
              <w:t/>
              <w:br/>
              <w:t/>
              <w:br/>
              <w:t/>
            </w:r>
            <w:r>
              <w:rPr>
                <w:rFonts w:ascii="Amiri" w:hAnsi="Amiri" w:cs="Amiri"/>
                <w:b w:val="0"/>
                <w:color w:val="1A2632"/>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tc>
        <w:tc>
          <w:tcPr>
            <w:tcW w:type="dxa" w:w="7654"/>
            <w:shd w:fill="F3F7FA"/>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المادة: التاريخالمستوى: الأولى بكالوريا علومالوحدة 2: التحولات الاقتصادية والمالية والاجتماعية والفكرية في العالم خلال القرن 19مالمرجع: المقرر المدرسي، ص14–26، الوثائق 1–40الغلاف الزمني المقترح: 4 حصص × 50 دقيقة</w:t>
              <w:br/>
              <w:t/>
              <w:br/>
              <w:t/>
              <w:br/>
              <w:t/>
              <w:br/>
              <w:t/>
            </w:r>
            <w:r>
              <w:rPr>
                <w:rFonts w:ascii="Amiri" w:hAnsi="Amiri" w:cs="Amiri"/>
                <w:b w:val="0"/>
                <w:color w:val="1A2632"/>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p>
            <w:pPr>
              <w:spacing w:before="0" w:after="0" w:line="240" w:lineRule="auto"/>
              <w:ind w:left="0" w:right="0" w:firstLine="0"/>
              <w:jc w:val="right"/>
              <w:keepNext w:val="0"/>
              <w:keepLines w:val="0"/>
              <w:pageBreakBefore w:val="0"/>
              <w:bidi w:val="1"/>
            </w:pPr>
            <w:r>
              <w:rPr>
                <w:sz w:val="16"/>
                <w:rtl w:val="1"/>
              </w:rPr>
            </w:r>
          </w:p>
        </w:tc>
      </w:tr>
    </w:tbl>
    <w:p>
      <w:pPr>
        <w:spacing w:before="40" w:after="40"/>
        <w:jc w:val="right"/>
        <w:keepNext w:val="0"/>
        <w:pageBreakBefore w:val="0"/>
        <w:bidi w:val="1"/>
      </w:pPr>
      <w:r>
        <w:rPr>
          <w:rFonts w:ascii="Amiri" w:hAnsi="Amiri" w:cs="Amiri"/>
          <w:b/>
          <w:color w:val="1B365D"/>
          <w:sz w:val="24"/>
          <w:rtl w:val="1"/>
        </w:rPr>
        <w:t>إشكالية الدرس والقدرات المستهدفة</w:t>
      </w:r>
    </w:p>
    <w:tbl>
      <w:tblPr>
        <w:tblW w:type="dxa" w:w="15307"/>
        <w:jc w:val="center"/>
        <w:tblLayout w:type="fixed"/>
        <w:tblLook w:firstColumn="1" w:firstRow="1" w:lastColumn="0" w:lastRow="0" w:noHBand="0" w:noVBand="1" w:val="04A0"/>
        <w:bidiVisual w:val="1"/>
        <w:tblInd w:type="dxa" w:w="0"/>
      </w:tblPr>
      <w:tblGrid>
        <w:gridCol w:w="5017"/>
        <w:gridCol w:w="3487"/>
        <w:gridCol w:w="3430"/>
        <w:gridCol w:w="3373"/>
      </w:tblGrid>
      <w:tr>
        <w:trPr/>
        <w:tc>
          <w:tcPr>
            <w:tcW w:type="dxa" w:w="5017"/>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إشكالية الدرس</w:t>
            </w:r>
          </w:p>
        </w:tc>
        <w:tc>
          <w:tcPr>
            <w:tcW w:type="dxa" w:w="3487"/>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القدرات المعرفية</w:t>
            </w:r>
          </w:p>
        </w:tc>
        <w:tc>
          <w:tcPr>
            <w:tcW w:type="dxa" w:w="3430"/>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القدرات المهارية</w:t>
            </w:r>
          </w:p>
        </w:tc>
        <w:tc>
          <w:tcPr>
            <w:tcW w:type="dxa" w:w="33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القدرات الوجدانية</w:t>
            </w:r>
          </w:p>
        </w:tc>
      </w:tr>
      <w:tr>
        <w:trPr/>
        <w:tc>
          <w:tcPr>
            <w:tcW w:type="dxa" w:w="5017"/>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كيف تجلت التحولات الاقتصادية والمالية والاجتماعية والفكرية في العالم الرأسمالي خلال القرن 19م؟ وما العوامل التي فسرتها والنتائج التي ترتبت عنها؟</w:t>
              <w:br/>
              <w:t>تساؤلات: ما مظاهر التطور الاقتصادي؟ كيف تغير المجتمع؟ لماذا ظهر الفكر الاشتراكي والتنظيم النقابي؟</w:t>
            </w:r>
            <w:r>
              <w:rPr>
                <w:rFonts w:ascii="Amiri" w:hAnsi="Amiri" w:cs="Amiri"/>
                <w:b w:val="0"/>
                <w:color w:val="1A2632"/>
                <w:sz w:val="16"/>
                <w:rtl w:val="1"/>
              </w:rPr>
            </w:r>
          </w:p>
          <w:p>
            <w:pPr>
              <w:spacing w:before="0" w:after="0" w:line="240" w:lineRule="auto"/>
              <w:ind w:left="0" w:right="0" w:firstLine="0"/>
              <w:jc w:val="right"/>
              <w:keepNext w:val="0"/>
              <w:keepLines w:val="0"/>
              <w:pageBreakBefore w:val="0"/>
              <w:bidi w:val="1"/>
            </w:pPr>
            <w:r>
              <w:rPr>
                <w:sz w:val="16"/>
                <w:rtl w:val="1"/>
              </w:rPr>
            </w:r>
          </w:p>
        </w:tc>
        <w:tc>
          <w:tcPr>
            <w:tcW w:type="dxa" w:w="3487"/>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تحديد مظاهر التصنيع والتقدم الفلاحي والتجاري؛ تفسير أثر التقنية والمواصلات والتركيز الرأسمالي؛ تعرف التحولات الديمغرافية والحضرية والطبقية؛ تمييز الاشتراكية الطوباوية والعلمية والحركة النقابية.</w:t>
            </w:r>
            <w:r>
              <w:rPr>
                <w:rFonts w:ascii="Amiri" w:hAnsi="Amiri" w:cs="Amiri"/>
                <w:b w:val="0"/>
                <w:color w:val="1A2632"/>
                <w:sz w:val="16"/>
                <w:rtl w:val="1"/>
              </w:rPr>
            </w:r>
          </w:p>
        </w:tc>
        <w:tc>
          <w:tcPr>
            <w:tcW w:type="dxa" w:w="3430"/>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قراءة الخطاطة والمبيان والجدول الإحصائي؛ المقارنة بين الفترات والدول؛ تحليل شهادة تاريخية؛ تفسير علاقات السبب والنتيجة؛ بناء تركيب تاريخي مسند بالوثائق.</w:t>
            </w:r>
            <w:r>
              <w:rPr>
                <w:rFonts w:ascii="Amiri" w:hAnsi="Amiri" w:cs="Amiri"/>
                <w:b w:val="0"/>
                <w:color w:val="1A2632"/>
                <w:sz w:val="16"/>
                <w:rtl w:val="1"/>
              </w:rPr>
            </w:r>
          </w:p>
        </w:tc>
        <w:tc>
          <w:tcPr>
            <w:tcW w:type="dxa" w:w="33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تقدير قيمة العمل والتنظيم والحوار الاجتماعي؛ احترام تعدد التصورات الفكرية؛ مناقشة الأوضاع الاجتماعية انطلاقاً من معطيات موثقة لا أحكام مسبقة.</w:t>
            </w:r>
            <w:r>
              <w:rPr>
                <w:rFonts w:ascii="Amiri" w:hAnsi="Amiri" w:cs="Amiri"/>
                <w:b w:val="0"/>
                <w:color w:val="1A2632"/>
                <w:sz w:val="16"/>
                <w:rtl w:val="1"/>
              </w:rPr>
            </w:r>
          </w:p>
        </w:tc>
      </w:tr>
    </w:tbl>
    <w:p>
      <w:pPr>
        <w:spacing w:before="40" w:after="40"/>
        <w:jc w:val="right"/>
        <w:keepNext w:val="0"/>
        <w:pageBreakBefore w:val="0"/>
        <w:bidi w:val="1"/>
      </w:pPr>
      <w:r>
        <w:rPr>
          <w:rFonts w:ascii="Amiri" w:hAnsi="Amiri" w:cs="Amiri"/>
          <w:b/>
          <w:color w:val="1B365D"/>
          <w:sz w:val="24"/>
          <w:rtl w:val="1"/>
        </w:rPr>
        <w:t>التوزيع الزمني المقترح</w:t>
      </w:r>
    </w:p>
    <w:tbl>
      <w:tblPr>
        <w:tblW w:type="dxa" w:w="15307"/>
        <w:jc w:val="center"/>
        <w:tblLayout w:type="fixed"/>
        <w:tblLook w:firstColumn="1" w:firstRow="1" w:lastColumn="0" w:lastRow="0" w:noHBand="0" w:noVBand="1" w:val="04A0"/>
        <w:bidiVisual w:val="1"/>
        <w:tblInd w:type="dxa" w:w="0"/>
      </w:tblPr>
      <w:tblGrid>
        <w:gridCol w:w="1616"/>
        <w:gridCol w:w="10573"/>
        <w:gridCol w:w="3118"/>
      </w:tblGrid>
      <w:tr>
        <w:trPr/>
        <w:tc>
          <w:tcPr>
            <w:tcW w:type="dxa" w:w="1616"/>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الحصة</w:t>
            </w:r>
          </w:p>
        </w:tc>
        <w:tc>
          <w:tcPr>
            <w:tcW w:type="dxa" w:w="105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المضامين والأنشطة</w:t>
            </w:r>
          </w:p>
        </w:tc>
        <w:tc>
          <w:tcPr>
            <w:tcW w:type="dxa" w:w="3118"/>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shd w:fill="23456F"/>
          </w:tcPr>
          <w:p>
            <w:pPr>
              <w:spacing w:before="0" w:after="0" w:line="240" w:lineRule="auto"/>
              <w:ind w:left="0" w:right="0" w:firstLine="0"/>
              <w:jc w:val="center"/>
              <w:keepNext w:val="0"/>
              <w:keepLines w:val="0"/>
              <w:pageBreakBefore w:val="0"/>
              <w:bidi w:val="1"/>
            </w:pPr>
            <w:r/>
            <w:r>
              <w:rPr>
                <w:rFonts w:ascii="Amiri" w:hAnsi="Amiri" w:cs="Amiri"/>
                <w:b/>
                <w:color w:val="FFFFFF"/>
                <w:sz w:val="17"/>
                <w:rtl w:val="1"/>
              </w:rPr>
              <w:t>وثائق المقرر</w:t>
            </w:r>
          </w:p>
        </w:tc>
      </w:tr>
      <w:tr>
        <w:trPr/>
        <w:tc>
          <w:tcPr>
            <w:tcW w:type="dxa" w:w="1616"/>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الأولى (50 د)</w:t>
            </w:r>
            <w:r>
              <w:rPr>
                <w:rFonts w:ascii="Amiri" w:hAnsi="Amiri" w:cs="Amiri"/>
                <w:b w:val="0"/>
                <w:color w:val="1A2632"/>
                <w:sz w:val="16"/>
                <w:rtl w:val="1"/>
              </w:rPr>
            </w:r>
          </w:p>
        </w:tc>
        <w:tc>
          <w:tcPr>
            <w:tcW w:type="dxa" w:w="105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تمهيد، تطور الصناعة والفلاحة والتجارة</w:t>
            </w:r>
            <w:r>
              <w:rPr>
                <w:rFonts w:ascii="Amiri" w:hAnsi="Amiri" w:cs="Amiri"/>
                <w:b w:val="0"/>
                <w:color w:val="1A2632"/>
                <w:sz w:val="16"/>
                <w:rtl w:val="1"/>
              </w:rPr>
            </w:r>
          </w:p>
        </w:tc>
        <w:tc>
          <w:tcPr>
            <w:tcW w:type="dxa" w:w="3118"/>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ص14–16: و1–و10</w:t>
            </w:r>
            <w:r>
              <w:rPr>
                <w:rFonts w:ascii="Amiri" w:hAnsi="Amiri" w:cs="Amiri"/>
                <w:b w:val="0"/>
                <w:color w:val="1A2632"/>
                <w:sz w:val="16"/>
                <w:rtl w:val="1"/>
              </w:rPr>
            </w:r>
          </w:p>
        </w:tc>
      </w:tr>
      <w:tr>
        <w:trPr/>
        <w:tc>
          <w:tcPr>
            <w:tcW w:type="dxa" w:w="1616"/>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الثانية (50 د)</w:t>
            </w:r>
            <w:r>
              <w:rPr>
                <w:rFonts w:ascii="Amiri" w:hAnsi="Amiri" w:cs="Amiri"/>
                <w:b w:val="0"/>
                <w:color w:val="1A2632"/>
                <w:sz w:val="16"/>
                <w:rtl w:val="1"/>
              </w:rPr>
            </w:r>
          </w:p>
        </w:tc>
        <w:tc>
          <w:tcPr>
            <w:tcW w:type="dxa" w:w="105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الابتكار والتقنية، المواصلات، التمويل والتركيز والأزمات</w:t>
            </w:r>
            <w:r>
              <w:rPr>
                <w:rFonts w:ascii="Amiri" w:hAnsi="Amiri" w:cs="Amiri"/>
                <w:b w:val="0"/>
                <w:color w:val="1A2632"/>
                <w:sz w:val="16"/>
                <w:rtl w:val="1"/>
              </w:rPr>
            </w:r>
          </w:p>
        </w:tc>
        <w:tc>
          <w:tcPr>
            <w:tcW w:type="dxa" w:w="3118"/>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ص17–21: و11–و23</w:t>
            </w:r>
            <w:r>
              <w:rPr>
                <w:rFonts w:ascii="Amiri" w:hAnsi="Amiri" w:cs="Amiri"/>
                <w:b w:val="0"/>
                <w:color w:val="1A2632"/>
                <w:sz w:val="16"/>
                <w:rtl w:val="1"/>
              </w:rPr>
            </w:r>
          </w:p>
        </w:tc>
      </w:tr>
      <w:tr>
        <w:trPr/>
        <w:tc>
          <w:tcPr>
            <w:tcW w:type="dxa" w:w="1616"/>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الثالثة (50 د)</w:t>
            </w:r>
            <w:r>
              <w:rPr>
                <w:rFonts w:ascii="Amiri" w:hAnsi="Amiri" w:cs="Amiri"/>
                <w:b w:val="0"/>
                <w:color w:val="1A2632"/>
                <w:sz w:val="16"/>
                <w:rtl w:val="1"/>
              </w:rPr>
            </w:r>
          </w:p>
        </w:tc>
        <w:tc>
          <w:tcPr>
            <w:tcW w:type="dxa" w:w="105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النمو الديمغرافي والحضري وتغير البنية الطبقية</w:t>
            </w:r>
            <w:r>
              <w:rPr>
                <w:rFonts w:ascii="Amiri" w:hAnsi="Amiri" w:cs="Amiri"/>
                <w:b w:val="0"/>
                <w:color w:val="1A2632"/>
                <w:sz w:val="16"/>
                <w:rtl w:val="1"/>
              </w:rPr>
            </w:r>
          </w:p>
        </w:tc>
        <w:tc>
          <w:tcPr>
            <w:tcW w:type="dxa" w:w="3118"/>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ص21–23: و24–و32</w:t>
            </w:r>
            <w:r>
              <w:rPr>
                <w:rFonts w:ascii="Amiri" w:hAnsi="Amiri" w:cs="Amiri"/>
                <w:b w:val="0"/>
                <w:color w:val="1A2632"/>
                <w:sz w:val="16"/>
                <w:rtl w:val="1"/>
              </w:rPr>
            </w:r>
          </w:p>
        </w:tc>
      </w:tr>
      <w:tr>
        <w:trPr/>
        <w:tc>
          <w:tcPr>
            <w:tcW w:type="dxa" w:w="1616"/>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الرابعة (50 د)</w:t>
            </w:r>
            <w:r>
              <w:rPr>
                <w:rFonts w:ascii="Amiri" w:hAnsi="Amiri" w:cs="Amiri"/>
                <w:b w:val="0"/>
                <w:color w:val="1A2632"/>
                <w:sz w:val="16"/>
                <w:rtl w:val="1"/>
              </w:rPr>
            </w:r>
          </w:p>
        </w:tc>
        <w:tc>
          <w:tcPr>
            <w:tcW w:type="dxa" w:w="10573"/>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الفكر الاشتراكي والحركة النقابية، تركيب وتقويم</w:t>
            </w:r>
            <w:r>
              <w:rPr>
                <w:rFonts w:ascii="Amiri" w:hAnsi="Amiri" w:cs="Amiri"/>
                <w:b w:val="0"/>
                <w:color w:val="1A2632"/>
                <w:sz w:val="16"/>
                <w:rtl w:val="1"/>
              </w:rPr>
            </w:r>
          </w:p>
        </w:tc>
        <w:tc>
          <w:tcPr>
            <w:tcW w:type="dxa" w:w="3118"/>
            <w:vAlign w:val="top"/>
            <w:tcBorders>
              <w:top w:val="single" w:sz="4" w:color="BCCAD6"/>
              <w:left w:val="single" w:sz="4" w:color="BCCAD6"/>
              <w:bottom w:val="single" w:sz="4" w:color="BCCAD6"/>
              <w:right w:val="single" w:sz="4" w:color="BCCAD6"/>
            </w:tcBorders>
            <w:tcMar>
              <w:top w:w="35" w:type="dxa"/>
              <w:bottom w:w="35" w:type="dxa"/>
              <w:start w:w="95" w:type="dxa"/>
              <w:end w:w="95" w:type="dxa"/>
              <w:left w:type="dxa" w:w="95"/>
              <w:right w:type="dxa" w:w="95"/>
            </w:tcMar>
          </w:tcPr>
          <w:p>
            <w:pPr>
              <w:spacing w:before="0" w:after="0" w:line="240" w:lineRule="auto"/>
              <w:ind w:left="0" w:right="0" w:firstLine="0"/>
              <w:jc w:val="right"/>
              <w:keepNext w:val="0"/>
              <w:keepLines w:val="0"/>
              <w:pageBreakBefore w:val="0"/>
              <w:bidi w:val="1"/>
            </w:pPr>
            <w:r>
              <w:rPr>
                <w:sz w:val="16"/>
                <w:rtl w:val="1"/>
              </w:rPr>
              <w:t>ص24–26: و33–و40</w:t>
            </w:r>
            <w:r>
              <w:rPr>
                <w:rFonts w:ascii="Amiri" w:hAnsi="Amiri" w:cs="Amiri"/>
                <w:b w:val="0"/>
                <w:color w:val="1A2632"/>
                <w:sz w:val="16"/>
                <w:rtl w:val="1"/>
              </w:rPr>
            </w:r>
          </w:p>
        </w:tc>
      </w:tr>
    </w:tbl>
    <w:p>
      <w:pPr>
        <w:spacing w:before="20" w:after="20"/>
        <w:jc w:val="right"/>
        <w:keepNext w:val="0"/>
        <w:pageBreakBefore w:val="0"/>
        <w:bidi w:val="1"/>
      </w:pPr>
      <w:r>
        <w:rPr>
          <w:rFonts w:ascii="Amiri" w:hAnsi="Amiri" w:cs="Amiri"/>
          <w:b/>
          <w:color w:val="126981"/>
          <w:sz w:val="17"/>
          <w:rtl w:val="1"/>
        </w:rPr>
        <w:t>ملاحظة تنظيمية: أربع حصص × 50 دقيقة توزيع ديداكتيكي مقترح وليس غلافاً رسمياً مثبتاً؛ يختار الأستاذ الوثائق الأساسية للتحليل داخل القسم ويكلف المتعلمين باستثمار الوثائق المكملة منزلياً.</w:t>
      </w:r>
      <w:r>
        <w:rPr>
          <w:rFonts w:ascii="Amiri" w:hAnsi="Amiri" w:cs="Amiri"/>
          <w:b w:val="0"/>
          <w:color w:val="1A2632"/>
          <w:sz w:val="17"/>
          <w:rtl w:val="1"/>
        </w:rPr>
      </w:r>
    </w:p>
    <w:p>
      <w:pPr>
        <w:spacing w:before="40" w:after="40"/>
        <w:jc w:val="right"/>
        <w:keepNext w:val="0"/>
        <w:pageBreakBefore w:val="0"/>
        <w:bidi w:val="1"/>
      </w:pPr>
      <w:r>
        <w:rPr>
          <w:rFonts w:ascii="Amiri" w:hAnsi="Amiri" w:cs="Amiri"/>
          <w:b/>
          <w:color w:val="1B365D"/>
          <w:sz w:val="24"/>
          <w:rtl w:val="1"/>
        </w:rPr>
        <w:t>سير الدرس: مراحل التعلم والتدبير والتقويم</w:t>
      </w:r>
    </w:p>
    <w:tbl>
      <w:tblPr>
        <w:tblW w:type="dxa" w:w="15307"/>
        <w:jc w:val="center"/>
        <w:tblLayout w:type="fixed"/>
        <w:tblLook w:firstColumn="1" w:firstRow="1" w:lastColumn="0" w:lastRow="0" w:noHBand="0" w:noVBand="1" w:val="04A0"/>
        <w:bidiVisual w:val="1"/>
        <w:tblInd w:type="dxa" w:w="0"/>
      </w:tblPr>
      <w:tblGrid>
        <w:gridCol w:w="1446"/>
        <w:gridCol w:w="2013"/>
        <w:gridCol w:w="2098"/>
        <w:gridCol w:w="2239"/>
        <w:gridCol w:w="5159"/>
        <w:gridCol w:w="2353"/>
      </w:tblGrid>
      <w:tr>
        <w:trPr>
          <w:tblHeader w:val="true"/>
          <w:cantSplit/>
          <w:tblHeader w:val="true"/>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المرحلة والزمن</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أهداف التعلم والوثائق</w:t>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مهام المدرس</w:t>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مهام المتعلم</w:t>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الأجوبة المنتظرة ومعايير التحقق</w:t>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1B365D"/>
          </w:tcPr>
          <w:p>
            <w:pPr>
              <w:spacing w:before="0" w:after="0" w:line="250" w:lineRule="auto"/>
              <w:ind w:left="0" w:right="0" w:firstLine="0"/>
              <w:jc w:val="center"/>
              <w:keepNext w:val="0"/>
              <w:keepLines w:val="0"/>
              <w:pageBreakBefore w:val="0"/>
              <w:bidi w:val="1"/>
            </w:pPr>
            <w:r/>
            <w:r>
              <w:rPr>
                <w:rFonts w:ascii="Amiri" w:hAnsi="Amiri" w:cs="Amiri"/>
                <w:b/>
                <w:color w:val="FFFFFF"/>
                <w:sz w:val="17"/>
                <w:rtl w:val="1"/>
              </w:rPr>
              <w:t>شكل التدبير والمفاهيم والدعم</w:t>
            </w:r>
          </w:p>
        </w:tc>
      </w:tr>
      <w:tr>
        <w:trPr/>
        <w:tc>
          <w:tcPr>
            <w:tcW w:type="dxa" w:w="15307"/>
            <w:gridSpan w:val="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الحصة الأولى — المقطع التعلمي الأول: مظاهر التحولات الاقتصادية والمالية — الصناعة والفلاحة والتجارة (50 دقيقة)</w:t>
            </w:r>
            <w:r>
              <w:rPr>
                <w:rFonts w:ascii="Amiri" w:hAnsi="Amiri" w:cs="Amiri"/>
                <w:b/>
                <w:color w:val="23456F"/>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تقويم تشخيصي — 5 د</w:t>
            </w:r>
            <w:r>
              <w:rPr>
                <w:rFonts w:ascii="Amiri" w:hAnsi="Amiri" w:cs="Amiri"/>
                <w:b/>
                <w:color w:val="1B365D"/>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استحضار الثورة الصناعية والنظام الرأسمالي؛ مكتسبات سابقة.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يسأل: ما الفرق بين الإنتاج اليدوي والآلي؟ وما معنى رأس المال؟ يدون الفرضيات دون تصحيح فوري.</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يقدم مثالاً عن الآلة والمصنع والاستثمار ويصوغ تفسيراً أولياً.</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المؤشر: التمييز بين الإنتاج الحرفي والصناعي؛ رأس المال مال أو وسائل توظف في الإنتاج.</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تقويم تشخيصي؛ دعم: مقارنة ورشة حرفية ومصنع. الوثائق الأساسية محددة بكل نشاط، والباقي للإغناء أو الدعم.</w:t>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وضعية استكشافية مشكلة — 10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بناء إشكالية الدرس من و1 ص14، و5 ص15، و32 ص23 (وثائق منتقاة).</w:t>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يعرض معطيات نمو الصناعة وصورة/شهادة عن ظروف العمال. يسأل بالتدرج: ماذا تغير؟ صنفوا التغيرات. لماذا تقدم الإنتاج؟ لماذا لم يستفد العمال بالقدر نفسه؟ يدون الفرضيات ثم يساعد على صياغة الإشكالية والأسئلة الفرعية.</w:t>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ملاحظة فردية، مقارنة ثنائية، ثم اقتراح فرضيات جماعية حول التقنية والرأسمالية والتفاوت الاجتماعي؛ يصوغ أسئلة البحث الثلاثة.</w:t>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منتوج: إشكالية جامعة وأسئلة حول الاقتصاد والمجتمع والفكر. معيار التحقق: التمييز بين المظهر والسبب والنتيجة. تعثر: الخلط بين التقدم الصناعي والعدالة الاجتماعية.</w:t>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فردي ← ثنائي ← جماعي. دعم: عمودان «تقدم الإنتاج/أوضاع العمال» وسؤال مفارقة؛ لا يقدم الأستاذ الإجابات مسبقًا.</w:t>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1: الثورات الصناعية — 12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تمييز المراحل ومصادر الطاقة والصناعات؛ و1 ص14، و3 ص15.</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يوجه قراءة محور الزمن والجدول: ما طاقة الثورة الأولى والثانية؟ ما الصناعات المرتبطة بكل مرحلة؟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يرتب الفترات ويصل الفحم والبخار بالنسيج والحديد والسكك، والكهرباء والنفط بالصناعات الجديدة.</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و3: الأولى 1760–1850 الفحم والبخار والنسيج والميكانيك؛ الثانية 1850–1890 الكهرباء والفولاذ؛ الثالثة 1890–1930 النفط والسيارات والكيمياء. و1 يقدم موجات أطول لا تطابق تماماً تقسيم و3؛ يميز بين التصنيفين. معيار: فترتان ومصدران صحيحان.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ثنائيات وجدول مقارنة؛ دعم: مفتاح زمني وألوان.</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2: الإنتاج الصناعي — 9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وصف الإنتاج والمنافسة الدولية؛ و4–و6 ص15.</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يسأل عن اتجاه الحديد والصلب، وعن تغير حصص بريطانيا وألمانيا والولايات المتحدة؛ يستدعي شهادة توكفيل.</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يصف تغير الأرقام ويقارن الحصص ويستخرج دلالة المدن الصناعية.</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الصلب يرتفع من 40 سنة 1850 إلى 700 سنة 1890 بحسب الجدول؛ ترتفع حصة الولايات المتحدة من 23% (1870) إلى 35.8% (1913)، وتتراجع حصة بريطانيا من 32% إلى 14%. شاهد و6 يصف اتساع النشاط الصناعي. معيار: اتجاهان مسندان برقمين.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قراءة إحصائية؛ دعم: التفريق بين النسبة والإنتاج المطلق.</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3: الفلاحة والتجارة — 10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استخراج تجديد الفلاحة وتوسع المبادلات؛ و7–و10 ص16–17.</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يوجه قراءة شهادة أشبورتون وخطاطة الفلاحة ونصي التجارة؛ يطلب ربط التقنيات بالإنتاج والتبادل.</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يستخرج المكننة والتخصص والتوسع والبحث الزراعي ثم يفسر اتساع التجارة الداخلية والعالمية.</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تطور الفلاحة: استعمال الآلات وتحسين وسائل الإنتاج والتخصص والارتباط بالأسواق؛ التجارة: نمو المبادلات وتوسع شبكاتها وظهور المتاجر الكبرى وتطور أساليب البيع. معيار: عاملان فلاحيان ومظهران تجاريان مع سند.</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مجموعات مصغرة؛ دعم: فصل «المظهر» عن «السبب».</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تركيب وتقويم مرحلي — 4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تثبيت العلاقات بين الصناعة والفلاحة والتجارة.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يطلب صياغة سلسلة تفسيرية من ثلاث حلقات ويصحح بالاستناد إلى وثيقة.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يكتب: ابتكار تقني ← ارتفاع الإنتاج ← اتساع الأسواق والمبادلات.</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معيار: تسلسل منطقي مع ذكر مثال وثائقي صحيح؛ لا تعميم بأن النمو متساوٍ في جميع الدول.</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بطاقة خروج؛ معالجة خلط الصناعة بالتجارة.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5307"/>
            <w:gridSpan w:val="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الحصة الثانية — تتمة المقطع الأول: الابتكار والمواصلات والمال والأزمات (50 دقيقة)</w:t>
            </w:r>
            <w:r>
              <w:rPr>
                <w:rFonts w:ascii="Amiri" w:hAnsi="Amiri" w:cs="Amiri"/>
                <w:b/>
                <w:color w:val="23456F"/>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استرجاع — 5 د</w:t>
            </w:r>
            <w:r>
              <w:rPr>
                <w:rFonts w:ascii="Amiri" w:hAnsi="Amiri" w:cs="Amiri"/>
                <w:b/>
                <w:color w:val="1B365D"/>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ربط التحول التقني بتغير الإنتاج.</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يستعيد مثالين من الحصة الأولى ويسأل عن أثر المواصلات في السوق.</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يسمي مصدر طاقة واختراعاً ويقترح أثر النقل.</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المطلوب: الربط بين سرعة النقل وخفض زمن نقل السلع وتوسيع المبادلات.</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استرجاع شفهي موجز.</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4: العلم والتقنية — 11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تفسير أثر الاختراعات؛ و11–و15 ص17–18.</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يقدم شهادة شابتال وجدول الاختراعات ومبيان الآلة البخارية وخطاطة الليبرالية؛ يسأل عن مجالات الاختراع وتطبيقاتها.</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يصنف الآلة الحاصدة (1834) والتلغراف (1844) والديناميت (1866) والهاتف (1876) والمصباح (1879) والسيارات؛ يربط الاختراع بالإنتاج.</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أثرت المكننة والاتصال والطاقة في الإنتاج والتبادل؛ انتشار الآلة البخارية غير متساوٍ بين الدول في المبيان و14؛ و15 يعرض حرية الإنتاج والتبادل والمنافسة والبحث عن الربح ضمن النموذج الليبرالي. معيار: ثلاثة اختراعات مصنفة وعلاقة تفسيرية.</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ورشة جدول «اختراع/تاريخ/مجال/أثر»؛ دعم: قراءة مفتاح المبيان.</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5: المصنع والتركيز — 12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تعرف التنظيم الصناعي والتركيز الرأسمالي؛ و16–و17 ص18–19.</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يسأل عن خصائص المصنع الحديث؛ يعرض صور التركيز الأفقي والعمودي والشركات العملاقة.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يستخرج تقسيم العمل وتنظيمه وظهور شركات كبرى؛ يميز الأشكال الثلاثة للتركيز.</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التركيز الأفقي: دمج منشآت من النشاط نفسه؛ العمودي: جمع مراحل متكاملة للإنتاج؛ الشركات العملاقة: مؤسسات تهيمن فيها قوى مالية كبيرة. معيار: تعريف كل شكل بمثال وصفي لا مختلق.</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خطاطة مقارنة؛ دعم: بطاقات «نفس الإنتاج/مراحل الإنتاج/قوة مالية».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6: ثورة المواصلات — 10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بيان أثر السكك والنقل البحري؛ و18–و20 ص19.</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يوجه قراءة جدول أطوال السكك (1870/1913) ونص السفن البخارية، ثم يطرح أثر ذلك على الأسواق.</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يقارن تغير الشبكات بين البلدان ويستخرج انتظام النقل البحري وتزايد الروابط العابرة للمحيطات.</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في ألمانيا ارتفع طول السكك من 18876 إلى 63378 كم، وفي الولايات المتحدة من 85170 إلى 401977 كم بحسب و19؛ توسع النقل سهّل حركة السلع والناس واتساع الأسواق. معيار: مثال رقمي ونتيجتان.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ثنائيات؛ دعم: ضبط الوحدات وتجنب الخلط بين البلدان.</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7: التمويل والأزمات — 9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تفسير دور الفاعلين الماليين ودورية الأزمات؛ و21–و23 ص20–21.</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يعرض و21 وو22: كيف تمول المشاريع الكبرى؟ ما وظيفة الأبناك والأسهم؟ لماذا تظهر أزمة رغم ارتفاع الإنتاج؟ يوجه رسم سلسلة سبب/نتيجة: توسع الإنتاج ← فائض العرض ← انخفاض الأسعار والأرباح.</w:t>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يميز بين المقاول والشركة المساهمة والبنك، ويستخرج من نص الأزمة مؤشرات فائض الإنتاج والكساد ويقدم تفسيرًا سببيًا مختصرًا.</w:t>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مؤشر النجاح: يذكر أداتين للتمويل ويفسر الأزمة بعلاقة العرض والطلب، لا باعتبارها مجرد نقص في الإنتاج.</w:t>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تحليل نص + خطاطة سببية؛ دعم: مثال مصنع ينتج أكثر مما يستطيع السوق شراءه.</w:t>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تقويم مرحلي — 3 د</w:t>
            </w:r>
            <w:r>
              <w:rPr>
                <w:rFonts w:ascii="Amiri" w:hAnsi="Amiri" w:cs="Amiri"/>
                <w:b/>
                <w:color w:val="1B365D"/>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تركيب عوامل التطور الاقتصادي.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يطلب اختيار عاملين تقنيين وعامل مالي واحد وبيان علاقتهما بالنمو.</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يكتب جملتين سببيتين.</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التحقق: عامل تقني + دور المواصلات أو التمويل + أثر اقتصادي واضح.</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تقويم فردي سريع.</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5307"/>
            <w:gridSpan w:val="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الحصة الثالثة — المقطع التعلمي الثاني: التحولات الاجتماعية والديمغرافية والحضرية (50 دقيقة)</w:t>
            </w:r>
            <w:r>
              <w:rPr>
                <w:rFonts w:ascii="Amiri" w:hAnsi="Amiri" w:cs="Amiri"/>
                <w:b/>
                <w:color w:val="23456F"/>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استرجاع وإشكال — 5 د</w:t>
            </w:r>
            <w:r>
              <w:rPr>
                <w:rFonts w:ascii="Amiri" w:hAnsi="Amiri" w:cs="Amiri"/>
                <w:b/>
                <w:color w:val="1B365D"/>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ربط النمو الاقتصادي بالتحول الاجتماعي.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يسأل: لماذا تجذب المصانع السكان؟ ومن يملك وسائل الإنتاج ومن يبيع قوة العمل؟</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يقترح فرضيات عن الهجرة والعمل والأجور.</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فرضية قابلة للفحص: توسع الصناعة يغير توزيع السكان والفئات الاجتماعية.</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حوار موجَّه.</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8: النمو الديمغرافي — 12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قياس نمو السكان وتفسيره؛ و24–و25 ص21.</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يوجه مقارنة أرقام 1800 و1900، ويطلب استخراج عوامل انخفاض الوفيات من النص.</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يحسب فروقاً بسيطة ويحدد تحسن التغذية والصحة والتلقيح وتراجع بعض الوفيات.</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سكان العالم بحسب و24: 906 ملايين سنة 1800 و1608 ملايين سنة 1900؛ أوروبا 187 ثم 401 مليون. يربط و25 الزيادة بتحسن التغذية والوقاية والطب؛ لا ينسبها إلى سبب وحيد. معيار: رقم صحيح وعاملان.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جدول مقارنة؛ دعم: الفرق بين الزيادة المطلقة والنسبية.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9: التمدن والهجرة — 13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تفسير توسع المدن والهجرات؛ و26–و29 ص22.</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يطلب مقارنة السكان الحضريين سنة 1850 و1910، ووصف المدن الكبرى ثم تفسير الهجرة القروية.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يقرأ الأعداد ويقارن وتيرة النمو؛ يستخرج دوافع الطرد القروي والجذب الصناعي.</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بريطانيا 10 إلى 31 مليون حضري، وألمانيا 5 إلى 32، والولايات المتحدة 3 إلى 39 بحسب و26؛ لندن 2.3 إلى 6.6 ملايين بين 1850 و1900 بحسب و27. النمو الصناعي والهجرة القروية والنقل من عوامل التمدن؛ ترافقه أحياء مكتظة ومشكلات تجهيز. معيار: شاهدان رقميان وعاملان.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مجموعات تحليل جداول ونص؛ دعم: تحديد فترة كل وثيقة.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10: المجتمع الطبقي — 14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المقارنة بين البرجوازية والطبقة العاملة؛ و30–و32 ص23.</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يقدم و30–و32 ويطلب المقارنة بين البورجوازية والعمال حسب مصدر الدخل والوظيفة وظروف العيش؛ يسأل: كيف يفسر التصنيع هذا التمايز؟</w:t>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ينجز جدول مقارنة من عمودين، ثم يستنتج العلاقة بين الملكية والعمل المأجور ويحدد مثالين لصعوبات العمال.</w:t>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معيار: تمييز الملكية/الأرباح عن الأجر، وربط ظروف العمال بظهور المطالب الاجتماعية.</w:t>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مجموعات صغيرة؛ دعم: بطاقة مصطلحات «رأسمال/أجر/ربح» وتصحيح جماعي.</w:t>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تركيب وتقويم — 6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إبراز العلاقة بين التصنيع والتغير السكاني والطبقي.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يطلب تفسيراً في ثلاثة أسطر يتضمن نمو السكان والتمدن والطبقات.</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يصوغ فقرة سببية ويصححها بمراجعة الوثائق.</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التحقق: ثلاث تحولات مترابطة وشاهد إحصائي أو نصي واحد.</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كتابة فردية وتغذية راجعة.</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5307"/>
            <w:gridSpan w:val="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الحصة الرابعة — المقطع التعلمي الثالث: بروز الفكر الاشتراكي والحركة النقابية (50 دقيقة)</w:t>
            </w:r>
            <w:r>
              <w:rPr>
                <w:rFonts w:ascii="Amiri" w:hAnsi="Amiri" w:cs="Amiri"/>
                <w:b/>
                <w:color w:val="23456F"/>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استرجاع ووضعية مشكلة — 5 د</w:t>
            </w:r>
            <w:r>
              <w:rPr>
                <w:rFonts w:ascii="Amiri" w:hAnsi="Amiri" w:cs="Amiri"/>
                <w:b/>
                <w:color w:val="1B365D"/>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ربط ظروف العمال بظهور النقد الاجتماعي.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يستدعي وصف ظروف العمل في و32 ويسأل عن ردود الفعل الفكرية والتنظيمية.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يقترح مطالب تتعلق بالأجر والساعات والحماية.</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توقع: ظهور أفكار إصلاحية وتنظيمات للدفاع عن مصالح العمال.</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تمهيد جماعي.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11: الفكر الاشتراكي — 15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تمييز الاشتراكية الطوباوية والعلمية؛ و33–و35 ص24.</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يشرح سياق النقد الاجتماعي دون إصدار حكم؛ يقسم الجدول بين سان سيمون وفورييه وأوين وبرودون، ثم يوجه نص ماركس.</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يستخرج اقتراحات التعاونيات وإصلاح المجتمع ونقد الملكية، ويحدد الصراع الطبقي ووسائل الإنتاج في تصور ماركس.</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و34: سان سيمون يدعو إلى إعادة تنظيم المجتمع ودور المنتجين؛ فورييه إلى تجمعات تعاونية؛ أوين إلى إصلاح علاقات العمل؛ برودون ينتقد الملكية والدولة. و35 يعرض تفسير ماركس للتاريخ بالصراع الطبقي وعلاقات الإنتاج. معيار: مثالان طوباويان وسمتان للنظرية الماركسية.</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عمل مجموعات ومقارنة؛ دعم: الفصل بين وصف أفكار أصحابها وتبنيها.</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12: التنظيم النقابي — 12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تتبع النشأة والأهداف؛ و36–و37 ص25.</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يوجه ترتيب الأحداث زمنياً ويعرض خطاطة المطالب الخاصة والعامة.</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يرتب 1824 بريطانيا و1864 فرنسا و1871 ألمانيا و1884 فرنسا، ويصنف المطالب.</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تطورت الجمعيات والاتحادات والاعتراف بحق الإضراب والتنظيم على نحو متفاوت؛ مطالب خاصة: الأجر وساعات العمل والوقاية؛ عامة: تغيير المجتمع والتمثيل السياسي. معيار: ثلاث محطات ومطلبان.</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خط زمني وثنائيات؛ دعم: الفرق بين النقابة والحزب.</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النشاط 13: المكاسب والحدود — 10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قراءة التشريعات والإضرابات؛ و38–و39 ص25.</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يسأل عن قوانين الأطفال وساعات العمل والتأمين، ثم يطلب مقارنة الإضرابات بين الفترتين.</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يستخرج تواريخ قوانين الحماية ويقارن أعداد المضربين.</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و38: قوانين للحد من تشغيل الأطفال (بريطانيا 1833، فرنسا 1841) وتحديد بعض ساعات العمل والتأمين؛ و39: في بريطانيا ارتفع المتوسط السنوي للمضربين من 1465 إلى 7054 لكل 100 ألف أجير غير فلاحي بين الفترتين المبينتين. معيار: مكسبان ورقم مقارنة صحيح.</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تحليل وثائق؛ دعم: التمييز بين صدور القانون وتطبيقه الفعلي.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تركيب الوحدة — 5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بناء شبكة «اقتصاد/مجتمع/فكر وتنظيم».</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يطلب جملة رابطة لكل مجال دون تفسير أحادي.</w:t>
            </w:r>
            <w:r>
              <w:rPr>
                <w:rFonts w:ascii="Amiri" w:hAnsi="Amiri" w:cs="Amiri"/>
                <w:b w:val="0"/>
                <w:color w:val="1A2632"/>
                <w:sz w:val="16"/>
                <w:rtl w:val="1"/>
              </w:rPr>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يربط الاختراع والتمويل بنمو الإنتاج، والتمدن بالتصنيع، والنقد الاجتماعي بظروف العمل.</w:t>
            </w:r>
            <w:r>
              <w:rPr>
                <w:rFonts w:ascii="Amiri" w:hAnsi="Amiri" w:cs="Amiri"/>
                <w:b w:val="0"/>
                <w:color w:val="1A2632"/>
                <w:sz w:val="16"/>
                <w:rtl w:val="1"/>
              </w:rPr>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خلاصة: تزامن اتساع الصناعة والأسواق مع نمو المدن وتمايز الفئات، وظهرت اتجاهات اشتراكية وتنظيمات نقابية تطالب بتغيير الأوضاع.</w:t>
            </w:r>
            <w:r>
              <w:rPr>
                <w:rFonts w:ascii="Amiri" w:hAnsi="Amiri" w:cs="Amiri"/>
                <w:b w:val="0"/>
                <w:color w:val="1A2632"/>
                <w:sz w:val="16"/>
                <w:rtl w:val="1"/>
              </w:rPr>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تركيب تعاوني وتدوين فردي.</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r>
      <w:tr>
        <w:trPr/>
        <w:tc>
          <w:tcPr>
            <w:tcW w:type="dxa" w:w="144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تقويم إجمالي ودعم موجه — 3 د</w:t>
            </w:r>
          </w:p>
        </w:tc>
        <w:tc>
          <w:tcPr>
            <w:tcW w:type="dxa" w:w="201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اختبار تفسير تحولين بمصدرين مختلفين؛ تقويم ص26.</w:t>
            </w:r>
            <w:r>
              <w:rPr>
                <w:rFonts w:ascii="Amiri" w:hAnsi="Amiri" w:cs="Amiri"/>
                <w:b w:val="0"/>
                <w:color w:val="1A2632"/>
                <w:sz w:val="16"/>
                <w:rtl w:val="1"/>
              </w:rPr>
            </w:r>
          </w:p>
          <w:p>
            <w:pPr>
              <w:spacing w:before="0" w:after="0" w:line="250" w:lineRule="auto"/>
              <w:ind w:left="0" w:right="0" w:firstLine="0"/>
              <w:jc w:val="right"/>
              <w:keepNext w:val="0"/>
              <w:keepLines w:val="0"/>
              <w:pageBreakBefore w:val="0"/>
              <w:bidi w:val="1"/>
            </w:pPr>
            <w:r>
              <w:rPr>
                <w:sz w:val="16"/>
                <w:rtl w:val="1"/>
              </w:rPr>
            </w:r>
          </w:p>
        </w:tc>
        <w:tc>
          <w:tcPr>
            <w:tcW w:type="dxa" w:w="209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بطاقة خروج: فسر في جملتين العلاقة بين التصنيع ونشأة الحركة النقابية، واذكر مكسبًا عماليًا. يجمع الإجابات لتحديد الدعم اللاحق.</w:t>
            </w:r>
          </w:p>
        </w:tc>
        <w:tc>
          <w:tcPr>
            <w:tcW w:type="dxa" w:w="223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يكتب علاقة سببية ومثالًا تاريخيًا محددًا، ثم يسلم البطاقة.</w:t>
            </w:r>
          </w:p>
        </w:tc>
        <w:tc>
          <w:tcPr>
            <w:tcW w:type="dxa" w:w="5159"/>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النجاح: سبب اقتصادي/اجتماعي صحيح + نتيجة نقابية + مثال مكسب؛ تعثر: سرد مطالب دون تفسير سبب ظهورها.</w:t>
            </w:r>
          </w:p>
        </w:tc>
        <w:tc>
          <w:tcPr>
            <w:tcW w:type="dxa" w:w="235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rPr>
                <w:sz w:val="17"/>
              </w:rPr>
              <w:t>تقويم فردي سريع؛ دعم لاحق لمن خلط بين الاشتراكية والنقابة أو بين السبب والنتيجة.</w:t>
            </w:r>
          </w:p>
        </w:tc>
      </w:tr>
    </w:tbl>
    <w:p>
      <w:pPr>
        <w:spacing w:before="140" w:after="80"/>
        <w:jc w:val="right"/>
        <w:keepNext w:val="0"/>
        <w:pageBreakBefore w:val="0"/>
        <w:bidi w:val="1"/>
      </w:pPr>
      <w:r>
        <w:rPr>
          <w:rFonts w:ascii="Amiri" w:hAnsi="Amiri" w:cs="Amiri"/>
          <w:b/>
          <w:color w:val="1B365D"/>
          <w:sz w:val="24"/>
          <w:rtl w:val="1"/>
        </w:rPr>
        <w:t>مصفوفة تركيب الوحدة (مرجع للتحقق والتصحيح)</w:t>
      </w:r>
    </w:p>
    <w:tbl>
      <w:tblPr>
        <w:tblW w:type="dxa" w:w="15307"/>
        <w:jc w:val="center"/>
        <w:tblLayout w:type="fixed"/>
        <w:tblLook w:firstColumn="1" w:firstRow="1" w:lastColumn="0" w:lastRow="0" w:noHBand="0" w:noVBand="1" w:val="04A0"/>
        <w:bidiVisual w:val="1"/>
        <w:tblInd w:type="dxa" w:w="0"/>
      </w:tblPr>
      <w:tblGrid>
        <w:gridCol w:w="1928"/>
        <w:gridCol w:w="9383"/>
        <w:gridCol w:w="3997"/>
      </w:tblGrid>
      <w:tr>
        <w:trPr>
          <w:tblHeader/>
        </w:trPr>
        <w:tc>
          <w:tcPr>
            <w:tcW w:type="dxa" w:w="192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23456F"/>
          </w:tcPr>
          <w:p>
            <w:pPr>
              <w:spacing w:before="0" w:after="0" w:line="250" w:lineRule="auto"/>
              <w:ind w:left="0" w:right="0" w:firstLine="0"/>
              <w:jc w:val="right"/>
              <w:keepNext w:val="0"/>
              <w:keepLines w:val="0"/>
              <w:pageBreakBefore w:val="0"/>
              <w:bidi w:val="1"/>
            </w:pPr>
            <w:r>
              <w:rPr>
                <w:sz w:val="16"/>
                <w:rtl w:val="1"/>
              </w:rPr>
              <w:t>المجال</w:t>
            </w:r>
            <w:r>
              <w:rPr>
                <w:rFonts w:ascii="Amiri" w:hAnsi="Amiri" w:cs="Amiri"/>
                <w:b/>
                <w:color w:val="FFFFFF"/>
                <w:sz w:val="16"/>
                <w:rtl w:val="1"/>
              </w:rPr>
            </w:r>
          </w:p>
        </w:tc>
        <w:tc>
          <w:tcPr>
            <w:tcW w:type="dxa" w:w="938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23456F"/>
          </w:tcPr>
          <w:p>
            <w:pPr>
              <w:spacing w:before="0" w:after="0" w:line="250" w:lineRule="auto"/>
              <w:ind w:left="0" w:right="0" w:firstLine="0"/>
              <w:jc w:val="right"/>
              <w:keepNext w:val="0"/>
              <w:keepLines w:val="0"/>
              <w:pageBreakBefore w:val="0"/>
              <w:bidi w:val="1"/>
            </w:pPr>
            <w:r>
              <w:rPr>
                <w:sz w:val="16"/>
                <w:rtl w:val="1"/>
              </w:rPr>
              <w:t>المظاهر الأساسية حسب وثائق المقرر</w:t>
            </w:r>
            <w:r>
              <w:rPr>
                <w:rFonts w:ascii="Amiri" w:hAnsi="Amiri" w:cs="Amiri"/>
                <w:b/>
                <w:color w:val="FFFFFF"/>
                <w:sz w:val="16"/>
                <w:rtl w:val="1"/>
              </w:rPr>
            </w:r>
          </w:p>
        </w:tc>
        <w:tc>
          <w:tcPr>
            <w:tcW w:type="dxa" w:w="3997"/>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23456F"/>
          </w:tcPr>
          <w:p>
            <w:pPr>
              <w:spacing w:before="0" w:after="0" w:line="250" w:lineRule="auto"/>
              <w:ind w:left="0" w:right="0" w:firstLine="0"/>
              <w:jc w:val="right"/>
              <w:keepNext w:val="0"/>
              <w:keepLines w:val="0"/>
              <w:pageBreakBefore w:val="0"/>
              <w:bidi w:val="1"/>
            </w:pPr>
            <w:r>
              <w:rPr>
                <w:sz w:val="16"/>
                <w:rtl w:val="1"/>
              </w:rPr>
              <w:t>الوثائق والصفحات</w:t>
            </w:r>
            <w:r>
              <w:rPr>
                <w:rFonts w:ascii="Amiri" w:hAnsi="Amiri" w:cs="Amiri"/>
                <w:b/>
                <w:color w:val="FFFFFF"/>
                <w:sz w:val="16"/>
                <w:rtl w:val="1"/>
              </w:rPr>
            </w:r>
          </w:p>
        </w:tc>
      </w:tr>
      <w:tr>
        <w:trPr/>
        <w:tc>
          <w:tcPr>
            <w:tcW w:type="dxa" w:w="192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الصناعة والفلاحة والتجارة</w:t>
            </w:r>
            <w:r>
              <w:rPr>
                <w:rFonts w:ascii="Amiri" w:hAnsi="Amiri" w:cs="Amiri"/>
                <w:b w:val="0"/>
                <w:color w:val="1A2632"/>
                <w:sz w:val="16"/>
                <w:rtl w:val="1"/>
              </w:rPr>
            </w:r>
          </w:p>
        </w:tc>
        <w:tc>
          <w:tcPr>
            <w:tcW w:type="dxa" w:w="938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موجات التصنيع والطاقة والآلات، تطور الإنتاج، مكننة الفلاحة، اتساع المبادلات والمتاجر.</w:t>
            </w:r>
            <w:r>
              <w:rPr>
                <w:rFonts w:ascii="Amiri" w:hAnsi="Amiri" w:cs="Amiri"/>
                <w:b w:val="0"/>
                <w:color w:val="1A2632"/>
                <w:sz w:val="16"/>
                <w:rtl w:val="1"/>
              </w:rPr>
            </w:r>
          </w:p>
        </w:tc>
        <w:tc>
          <w:tcPr>
            <w:tcW w:type="dxa" w:w="3997"/>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و1–و10، ص14–17</w:t>
            </w:r>
            <w:r>
              <w:rPr>
                <w:rFonts w:ascii="Amiri" w:hAnsi="Amiri" w:cs="Amiri"/>
                <w:b w:val="0"/>
                <w:color w:val="1A2632"/>
                <w:sz w:val="16"/>
                <w:rtl w:val="1"/>
              </w:rPr>
            </w:r>
          </w:p>
        </w:tc>
      </w:tr>
      <w:tr>
        <w:trPr/>
        <w:tc>
          <w:tcPr>
            <w:tcW w:type="dxa" w:w="192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التقنية والمال والمواصلات</w:t>
            </w:r>
            <w:r>
              <w:rPr>
                <w:rFonts w:ascii="Amiri" w:hAnsi="Amiri" w:cs="Amiri"/>
                <w:b w:val="0"/>
                <w:color w:val="1A2632"/>
                <w:sz w:val="16"/>
                <w:rtl w:val="1"/>
              </w:rPr>
            </w:r>
          </w:p>
        </w:tc>
        <w:tc>
          <w:tcPr>
            <w:tcW w:type="dxa" w:w="938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اختراعات، مصانع، تركيز أفقي وعمودي، سكك وسفن، شركات وأسهم وبنوك، أزمات دورية.</w:t>
            </w:r>
            <w:r>
              <w:rPr>
                <w:rFonts w:ascii="Amiri" w:hAnsi="Amiri" w:cs="Amiri"/>
                <w:b w:val="0"/>
                <w:color w:val="1A2632"/>
                <w:sz w:val="16"/>
                <w:rtl w:val="1"/>
              </w:rPr>
            </w:r>
          </w:p>
        </w:tc>
        <w:tc>
          <w:tcPr>
            <w:tcW w:type="dxa" w:w="3997"/>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و11–و23، ص17–21</w:t>
            </w:r>
            <w:r>
              <w:rPr>
                <w:rFonts w:ascii="Amiri" w:hAnsi="Amiri" w:cs="Amiri"/>
                <w:b w:val="0"/>
                <w:color w:val="1A2632"/>
                <w:sz w:val="16"/>
                <w:rtl w:val="1"/>
              </w:rPr>
            </w:r>
          </w:p>
        </w:tc>
      </w:tr>
      <w:tr>
        <w:trPr/>
        <w:tc>
          <w:tcPr>
            <w:tcW w:type="dxa" w:w="192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الديمغرافيا والمجتمع</w:t>
            </w:r>
            <w:r>
              <w:rPr>
                <w:rFonts w:ascii="Amiri" w:hAnsi="Amiri" w:cs="Amiri"/>
                <w:b w:val="0"/>
                <w:color w:val="1A2632"/>
                <w:sz w:val="16"/>
                <w:rtl w:val="1"/>
              </w:rPr>
            </w:r>
          </w:p>
        </w:tc>
        <w:tc>
          <w:tcPr>
            <w:tcW w:type="dxa" w:w="938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ارتفاع عدد السكان، التمدن والهجرة القروية، تمايز البرجوازية والعمال وظروف العمل.</w:t>
            </w:r>
            <w:r>
              <w:rPr>
                <w:rFonts w:ascii="Amiri" w:hAnsi="Amiri" w:cs="Amiri"/>
                <w:b w:val="0"/>
                <w:color w:val="1A2632"/>
                <w:sz w:val="16"/>
                <w:rtl w:val="1"/>
              </w:rPr>
            </w:r>
          </w:p>
        </w:tc>
        <w:tc>
          <w:tcPr>
            <w:tcW w:type="dxa" w:w="3997"/>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و24–و32، ص21–23</w:t>
            </w:r>
            <w:r>
              <w:rPr>
                <w:rFonts w:ascii="Amiri" w:hAnsi="Amiri" w:cs="Amiri"/>
                <w:b w:val="0"/>
                <w:color w:val="1A2632"/>
                <w:sz w:val="16"/>
                <w:rtl w:val="1"/>
              </w:rPr>
            </w:r>
          </w:p>
        </w:tc>
      </w:tr>
      <w:tr>
        <w:trPr/>
        <w:tc>
          <w:tcPr>
            <w:tcW w:type="dxa" w:w="1928"/>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الفكر الاشتراكي والنقابات</w:t>
            </w:r>
            <w:r>
              <w:rPr>
                <w:rFonts w:ascii="Amiri" w:hAnsi="Amiri" w:cs="Amiri"/>
                <w:b w:val="0"/>
                <w:color w:val="1A2632"/>
                <w:sz w:val="16"/>
                <w:rtl w:val="1"/>
              </w:rPr>
            </w:r>
          </w:p>
        </w:tc>
        <w:tc>
          <w:tcPr>
            <w:tcW w:type="dxa" w:w="9383"/>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طوباويون وماركس، تشكل التنظيم النقابي، مطالب العمال ومكاسب التشريع.</w:t>
            </w:r>
            <w:r>
              <w:rPr>
                <w:rFonts w:ascii="Amiri" w:hAnsi="Amiri" w:cs="Amiri"/>
                <w:b w:val="0"/>
                <w:color w:val="1A2632"/>
                <w:sz w:val="16"/>
                <w:rtl w:val="1"/>
              </w:rPr>
            </w:r>
          </w:p>
        </w:tc>
        <w:tc>
          <w:tcPr>
            <w:tcW w:type="dxa" w:w="3997"/>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و33–و40، ص24–26</w:t>
            </w:r>
            <w:r>
              <w:rPr>
                <w:rFonts w:ascii="Amiri" w:hAnsi="Amiri" w:cs="Amiri"/>
                <w:b w:val="0"/>
                <w:color w:val="1A2632"/>
                <w:sz w:val="16"/>
                <w:rtl w:val="1"/>
              </w:rPr>
            </w:r>
          </w:p>
        </w:tc>
      </w:tr>
    </w:tbl>
    <w:p>
      <w:pPr>
        <w:spacing w:before="140" w:after="80"/>
        <w:jc w:val="right"/>
        <w:keepNext w:val="0"/>
        <w:pageBreakBefore w:val="0"/>
        <w:bidi w:val="1"/>
      </w:pPr>
      <w:r>
        <w:rPr>
          <w:rFonts w:ascii="Amiri" w:hAnsi="Amiri" w:cs="Amiri"/>
          <w:b/>
          <w:color w:val="1B365D"/>
          <w:sz w:val="24"/>
          <w:rtl w:val="1"/>
        </w:rPr>
        <w:t>المفاهيم الأساسية والدعم والامتدادات</w:t>
      </w:r>
    </w:p>
    <w:tbl>
      <w:tblPr>
        <w:tblW w:type="dxa" w:w="15307"/>
        <w:jc w:val="center"/>
        <w:tblLayout w:type="fixed"/>
        <w:tblLook w:firstColumn="1" w:firstRow="1" w:lastColumn="0" w:lastRow="0" w:noHBand="0" w:noVBand="1" w:val="04A0"/>
        <w:bidiVisual w:val="1"/>
        <w:tblInd w:type="dxa" w:w="0"/>
      </w:tblPr>
      <w:tblGrid>
        <w:gridCol w:w="2466"/>
        <w:gridCol w:w="12841"/>
      </w:tblGrid>
      <w:tr>
        <w:trPr/>
        <w:tc>
          <w:tcPr>
            <w:tcW w:type="dxa" w:w="246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معجم الدرس</w:t>
            </w:r>
            <w:r>
              <w:rPr>
                <w:rFonts w:ascii="Amiri" w:hAnsi="Amiri" w:cs="Amiri"/>
                <w:b/>
                <w:color w:val="1B365D"/>
                <w:sz w:val="16"/>
                <w:rtl w:val="1"/>
              </w:rPr>
            </w:r>
          </w:p>
        </w:tc>
        <w:tc>
          <w:tcPr>
            <w:tcW w:type="dxa" w:w="12841"/>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الرأسمالية: نظام يقوم على الملكية الخاصة لرؤوس الأموال ووسائل الإنتاج؛ التركيز الرأسمالي: اندماج أو تجمع وحدات اقتصادية؛ البرجوازية: فئة مالكة أو مديرة لرؤوس الأموال؛ الطبقة العاملة: أجراء يبيعون قوة عملهم؛ الاشتراكية: تيارات فكرية ناقدة للعلاقات الرأسمالية؛ النقابة: تنظيم للدفاع عن المصالح المهنية.</w:t>
            </w:r>
            <w:r>
              <w:rPr>
                <w:rFonts w:ascii="Amiri" w:hAnsi="Amiri" w:cs="Amiri"/>
                <w:b w:val="0"/>
                <w:color w:val="1A2632"/>
                <w:sz w:val="16"/>
                <w:rtl w:val="1"/>
              </w:rPr>
            </w:r>
          </w:p>
        </w:tc>
      </w:tr>
      <w:tr>
        <w:trPr/>
        <w:tc>
          <w:tcPr>
            <w:tcW w:type="dxa" w:w="246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دعم الفروق الفردية</w:t>
            </w:r>
            <w:r>
              <w:rPr>
                <w:rFonts w:ascii="Amiri" w:hAnsi="Amiri" w:cs="Amiri"/>
                <w:b/>
                <w:color w:val="1B365D"/>
                <w:sz w:val="16"/>
                <w:rtl w:val="1"/>
              </w:rPr>
            </w:r>
          </w:p>
        </w:tc>
        <w:tc>
          <w:tcPr>
            <w:tcW w:type="dxa" w:w="12841"/>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قبل التحليل: تحديد نوع الوثيقة ومجالها وفترتها؛ أثناء القراءة: تمييز الأرقام من التفسير وتلوين الشاهد؛ بعد القراءة: جدول «ملاحظة/دليل/استنتاج». إثراء: مقارنة بين تفسيرات ماركس والإصلاحيين دون تبني موقف.</w:t>
            </w:r>
            <w:r>
              <w:rPr>
                <w:rFonts w:ascii="Amiri" w:hAnsi="Amiri" w:cs="Amiri"/>
                <w:b w:val="0"/>
                <w:color w:val="1A2632"/>
                <w:sz w:val="16"/>
                <w:rtl w:val="1"/>
              </w:rPr>
            </w:r>
          </w:p>
        </w:tc>
      </w:tr>
      <w:tr>
        <w:trPr/>
        <w:tc>
          <w:tcPr>
            <w:tcW w:type="dxa" w:w="246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امتداد منزلي</w:t>
            </w:r>
            <w:r>
              <w:rPr>
                <w:rFonts w:ascii="Amiri" w:hAnsi="Amiri" w:cs="Amiri"/>
                <w:b/>
                <w:color w:val="1B365D"/>
                <w:sz w:val="16"/>
                <w:rtl w:val="1"/>
              </w:rPr>
            </w:r>
          </w:p>
        </w:tc>
        <w:tc>
          <w:tcPr>
            <w:tcW w:type="dxa" w:w="12841"/>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spacing w:before="0" w:after="0" w:line="250" w:lineRule="auto"/>
              <w:ind w:left="0" w:right="0" w:firstLine="0"/>
              <w:jc w:val="right"/>
              <w:keepNext w:val="0"/>
              <w:keepLines w:val="0"/>
              <w:pageBreakBefore w:val="0"/>
              <w:bidi w:val="1"/>
            </w:pPr>
            <w:r>
              <w:rPr>
                <w:sz w:val="16"/>
                <w:rtl w:val="1"/>
              </w:rPr>
              <w:t>إنجاز تقويم ص26: مقال تاريخي يفسر عوامل الازدهار الرأسمالي في الصناعة والفلاحة ويبين حدوده، أو فقرة تقارن ظروف البرجوازية والعمال اعتماداً على و30–و32.</w:t>
            </w:r>
            <w:r>
              <w:rPr>
                <w:rFonts w:ascii="Amiri" w:hAnsi="Amiri" w:cs="Amiri"/>
                <w:b w:val="0"/>
                <w:color w:val="1A2632"/>
                <w:sz w:val="16"/>
                <w:rtl w:val="1"/>
              </w:rPr>
            </w:r>
          </w:p>
        </w:tc>
      </w:tr>
      <w:tr>
        <w:trPr/>
        <w:tc>
          <w:tcPr>
            <w:tcW w:type="dxa" w:w="2466"/>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shd w:fill="E7F1F9"/>
          </w:tcPr>
          <w:p>
            <w:pPr>
              <w:spacing w:before="0" w:after="0" w:line="250" w:lineRule="auto"/>
              <w:ind w:left="0" w:right="0" w:firstLine="0"/>
              <w:jc w:val="right"/>
              <w:keepNext w:val="0"/>
              <w:keepLines w:val="0"/>
              <w:pageBreakBefore w:val="0"/>
              <w:bidi w:val="1"/>
            </w:pPr>
            <w:r>
              <w:rPr>
                <w:sz w:val="16"/>
                <w:rtl w:val="1"/>
              </w:rPr>
              <w:t>ملاحظات منهجية</w:t>
            </w:r>
            <w:r>
              <w:rPr>
                <w:rFonts w:ascii="Amiri" w:hAnsi="Amiri" w:cs="Amiri"/>
                <w:b/>
                <w:color w:val="1B365D"/>
                <w:sz w:val="16"/>
                <w:rtl w:val="1"/>
              </w:rPr>
            </w:r>
          </w:p>
        </w:tc>
        <w:tc>
          <w:tcPr>
            <w:tcW w:type="dxa" w:w="12841"/>
            <w:vAlign w:val="top"/>
            <w:tcBorders>
              <w:top w:val="single" w:sz="4" w:color="BCCAD6"/>
              <w:left w:val="single" w:sz="4" w:color="BCCAD6"/>
              <w:bottom w:val="single" w:sz="4" w:color="BCCAD6"/>
              <w:right w:val="single" w:sz="4" w:color="BCCAD6"/>
            </w:tcBorders>
            <w:tcMar>
              <w:top w:w="85" w:type="dxa"/>
              <w:bottom w:w="85" w:type="dxa"/>
              <w:start w:w="95" w:type="dxa"/>
              <w:end w:w="95" w:type="dxa"/>
              <w:left w:type="dxa" w:w="95"/>
              <w:right w:type="dxa" w:w="95"/>
            </w:tcMar>
          </w:tcPr>
          <w:p>
            <w:pPr>
              <w:bidi w:val="1"/>
              <w:spacing w:after="0"/>
            </w:pPr>
            <w:r>
              <w:t>أرقام الوثائق والصفحات بحسب صور المقرر ص14–26. المراحل الصناعية في و1 و3 تستخدم تقسيمين مختلفين؛ لا يدمجان دون توضيح. عدد الحصص اقتراح ديداكتيكي لا نقل عن توزيع رسمي. تُحلل الوثائق المحورية فقط تحليلًا معمقًا؛ وتُستثمر باقي الوثائق للإغناء أو الدعم. يعتمد الأستاذ مؤشرات النجاح المكتوبة في كل نشاط، وتُرحّل معالجة التعثرات المركبة إلى بداية الحصة الموالية.</w:t>
            </w:r>
          </w:p>
        </w:tc>
      </w:tr>
    </w:tbl>
    <w:sectPr w:rsidR="00FC693F" w:rsidRPr="0006063C" w:rsidSect="00034616">
      <w:footerReference w:type="default" r:id="rId9"/>
      <w:headerReference w:type="default" r:id="rId10"/>
      <w:pgSz w:w="16838" w:h="11906" w:orient="landscape"/>
      <w:pgMar w:top="425" w:right="567" w:bottom="482" w:left="567" w:header="198" w:footer="22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miri" w:hAnsi="Amiri" w:cs="Amiri"/>
        <w:b w:val="0"/>
        <w:color w:val="23456F"/>
        <w:sz w:val="17"/>
        <w:rtl w:val="1"/>
      </w:rPr>
      <w:t xml:space="preserve">الاجتماعيات – التاريخ | الأولى بكالوريا علوم | عصر الأنوار • ص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5" w:lineRule="auto"/>
    </w:pPr>
    <w:rPr>
      <w:rFonts w:ascii="Amiri" w:hAnsi="Amiri"/>
      <w:color w:val="1A263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جذاذة تربوية: عصر الأنوار — الجذع المشترك</dc:title>
  <dc:subject>التاريخ، فكر الأنوار، المنهاج المغربي</dc:subject>
  <dc:creator>HistoGéo Academy</dc:creator>
  <cp:keywords>التاريخ، الجغرافيا، HistoGéo Academy</cp:keywords>
  <dc:description>نسخة معدة للنشر على HistoGéo Academy. حذفت بيانات المؤسسة.</dc:description>
  <cp:lastModifiedBy>HistoGéo Academy</cp:lastModifiedBy>
  <cp:revision>1</cp:revision>
  <dcterms:created xsi:type="dcterms:W3CDTF">2013-12-23T23:15:00Z</dcterms:created>
  <dcterms:modified xsi:type="dcterms:W3CDTF">2013-12-23T23:15:00Z</dcterms:modified>
  <cp:category/>
</cp:coreProperties>
</file>